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0"/>
        <w:gridCol w:w="2913"/>
        <w:gridCol w:w="2907"/>
      </w:tblGrid>
      <w:tr w:rsidR="00410074" w:rsidRPr="001B2595" w:rsidTr="00410074">
        <w:tc>
          <w:tcPr>
            <w:tcW w:w="2900" w:type="dxa"/>
          </w:tcPr>
          <w:p w:rsidR="00410074" w:rsidRPr="001B2595" w:rsidRDefault="00410074" w:rsidP="0041007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Determinantes sociales de la salud</w:t>
            </w:r>
          </w:p>
        </w:tc>
        <w:tc>
          <w:tcPr>
            <w:tcW w:w="2913" w:type="dxa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07" w:type="dxa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410074" w:rsidRPr="001B2595" w:rsidTr="00410074">
        <w:tc>
          <w:tcPr>
            <w:tcW w:w="2900" w:type="dxa"/>
          </w:tcPr>
          <w:p w:rsidR="00410074" w:rsidRPr="001B2595" w:rsidRDefault="00410074" w:rsidP="0041007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3" w:type="dxa"/>
          </w:tcPr>
          <w:p w:rsidR="00410074" w:rsidRPr="001B2595" w:rsidRDefault="00410074" w:rsidP="00410074">
            <w:pPr>
              <w:spacing w:after="0" w:line="240" w:lineRule="auto"/>
              <w:jc w:val="both"/>
            </w:pPr>
          </w:p>
        </w:tc>
        <w:tc>
          <w:tcPr>
            <w:tcW w:w="2907" w:type="dxa"/>
          </w:tcPr>
          <w:p w:rsidR="00410074" w:rsidRPr="001B2595" w:rsidRDefault="00410074" w:rsidP="00410074">
            <w:pPr>
              <w:spacing w:after="0" w:line="240" w:lineRule="auto"/>
              <w:jc w:val="both"/>
            </w:pPr>
          </w:p>
        </w:tc>
      </w:tr>
      <w:tr w:rsidR="00410074" w:rsidRPr="001B2595" w:rsidTr="00410074">
        <w:tc>
          <w:tcPr>
            <w:tcW w:w="8720" w:type="dxa"/>
            <w:gridSpan w:val="3"/>
            <w:vAlign w:val="center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¿Cómo se atenderán los determinantes de la salud desde la intersectorialidad y transectorialidad característica de la estrategia de APS?, cuáles serán los compromisos intersectoriales  y transectoriales?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alcance le supone a la APS adoptar el enfoque de determinantes sociales de la salud?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¿Cuál es la estructura y enfoque de determinantes que va a asumir el MPS para la APS?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implica la gestión de información desde los determinantes?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exigencias reglamentarias supone el enfoque de determinantes?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competencias deben tener los equipos de atención para asumir este enfoque?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capacidades institucionales supone este enfoque a la autoridad sanitaria y su rectoría?</w:t>
            </w:r>
          </w:p>
          <w:p w:rsidR="00410074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alcance tiene este enfoque en el contexto de los aseguradores y prestadores?</w:t>
            </w:r>
          </w:p>
          <w:p w:rsidR="00822377" w:rsidRDefault="00822377" w:rsidP="00410074">
            <w:pPr>
              <w:pStyle w:val="Prrafodelista"/>
              <w:numPr>
                <w:ilvl w:val="0"/>
                <w:numId w:val="1"/>
              </w:numPr>
              <w:jc w:val="both"/>
              <w:rPr>
                <w:color w:val="244061" w:themeColor="accent1" w:themeShade="80"/>
              </w:rPr>
            </w:pPr>
            <w:r w:rsidRPr="00822377">
              <w:rPr>
                <w:color w:val="244061" w:themeColor="accent1" w:themeShade="80"/>
              </w:rPr>
              <w:t>Cuáles serán los acuerdos mínimos con otros sectores que tiene competencia sobre los determinantes sociales cuando son claros los límites del sector salud?</w:t>
            </w:r>
          </w:p>
          <w:p w:rsidR="00AF4CF7" w:rsidRPr="00822377" w:rsidRDefault="00AF4CF7" w:rsidP="00410074">
            <w:pPr>
              <w:pStyle w:val="Prrafodelista"/>
              <w:numPr>
                <w:ilvl w:val="0"/>
                <w:numId w:val="1"/>
              </w:numPr>
              <w:jc w:val="both"/>
              <w:rPr>
                <w:color w:val="244061" w:themeColor="accent1" w:themeShade="80"/>
              </w:rPr>
            </w:pPr>
            <w:r>
              <w:rPr>
                <w:color w:val="244061" w:themeColor="accent1" w:themeShade="80"/>
              </w:rPr>
              <w:t>Cómo se evaluarán las intervenciones o avances en determinantes sociales a corto, media y largo plazo en salud?</w:t>
            </w: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F9377F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</w:tc>
      </w:tr>
    </w:tbl>
    <w:p w:rsidR="00D46B3E" w:rsidRDefault="00ED7A0D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8.35pt;margin-top:281.7pt;width:40.75pt;height:52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465" w:rsidRDefault="00064465" w:rsidP="00410074">
      <w:pPr>
        <w:spacing w:after="0" w:line="240" w:lineRule="auto"/>
      </w:pPr>
      <w:r>
        <w:separator/>
      </w:r>
    </w:p>
  </w:endnote>
  <w:endnote w:type="continuationSeparator" w:id="0">
    <w:p w:rsidR="00064465" w:rsidRDefault="00064465" w:rsidP="00410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465" w:rsidRDefault="00064465" w:rsidP="00410074">
      <w:pPr>
        <w:spacing w:after="0" w:line="240" w:lineRule="auto"/>
      </w:pPr>
      <w:r>
        <w:separator/>
      </w:r>
    </w:p>
  </w:footnote>
  <w:footnote w:type="continuationSeparator" w:id="0">
    <w:p w:rsidR="00064465" w:rsidRDefault="00064465" w:rsidP="00410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074" w:rsidRPr="00410074" w:rsidRDefault="00410074" w:rsidP="00410074">
    <w:pPr>
      <w:pStyle w:val="Encabezado"/>
      <w:jc w:val="center"/>
      <w:rPr>
        <w:sz w:val="48"/>
      </w:rPr>
    </w:pPr>
    <w:r w:rsidRPr="00410074">
      <w:rPr>
        <w:b/>
        <w:sz w:val="48"/>
      </w:rPr>
      <w:t>DETERMINANTES SOCIALES DE LA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41B10"/>
    <w:multiLevelType w:val="hybridMultilevel"/>
    <w:tmpl w:val="D4D0C5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10074"/>
    <w:rsid w:val="00064465"/>
    <w:rsid w:val="003D1AEB"/>
    <w:rsid w:val="00410074"/>
    <w:rsid w:val="00415C43"/>
    <w:rsid w:val="00512687"/>
    <w:rsid w:val="00522596"/>
    <w:rsid w:val="006C36A3"/>
    <w:rsid w:val="0075499C"/>
    <w:rsid w:val="00822377"/>
    <w:rsid w:val="00963C89"/>
    <w:rsid w:val="00AF4CF7"/>
    <w:rsid w:val="00BD365F"/>
    <w:rsid w:val="00ED7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07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1007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4100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1007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4100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1007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2011-07-14T03:20:00Z</dcterms:created>
  <dcterms:modified xsi:type="dcterms:W3CDTF">2011-07-14T03:20:00Z</dcterms:modified>
</cp:coreProperties>
</file>